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35"/>
          <w:tab w:val="center" w:pos="4156"/>
        </w:tabs>
        <w:jc w:val="left"/>
        <w:rPr>
          <w:rFonts w:hint="eastAsia" w:ascii="黑体" w:eastAsia="黑体"/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</w:rPr>
        <w:t>附件3            安徽财经大学继续修读申请表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44"/>
        <w:gridCol w:w="1130"/>
        <w:gridCol w:w="1045"/>
        <w:gridCol w:w="1045"/>
        <w:gridCol w:w="1045"/>
        <w:gridCol w:w="104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继续修读课程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课程号</w:t>
            </w: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  程  名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31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学生所在学院教学办公室主任意见</w:t>
            </w:r>
          </w:p>
        </w:tc>
        <w:tc>
          <w:tcPr>
            <w:tcW w:w="761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执行记录</w:t>
            </w:r>
          </w:p>
        </w:tc>
        <w:tc>
          <w:tcPr>
            <w:tcW w:w="761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02713"/>
    <w:rsid w:val="6D2027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2017-03-15T00:48:00Z</dcterms:created>
  <dc:creator>Administrator</dc:creator>
  <cp:lastModifiedBy>Administrator</cp:lastModifiedBy>
  <dcterms:modified xsi:type="dcterms:W3CDTF">2017-03-15T00:49:19Z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